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07.0" w:type="dxa"/>
        <w:jc w:val="left"/>
        <w:tblInd w:w="-942.0" w:type="dxa"/>
        <w:tblBorders>
          <w:top w:color="008000" w:space="0" w:sz="8" w:val="single"/>
          <w:left w:color="008000" w:space="0" w:sz="8" w:val="single"/>
          <w:bottom w:color="008000" w:space="0" w:sz="8" w:val="single"/>
          <w:right w:color="008000" w:space="0" w:sz="8" w:val="single"/>
          <w:insideH w:color="008000" w:space="0" w:sz="8" w:val="single"/>
          <w:insideV w:color="008000" w:space="0" w:sz="8" w:val="single"/>
        </w:tblBorders>
        <w:tblLayout w:type="fixed"/>
        <w:tblLook w:val="04A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008000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الأفكار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للعرض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التقديمي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sz w:val="32"/>
                <w:szCs w:val="32"/>
                <w:rtl w:val="1"/>
              </w:rPr>
              <w:t xml:space="preserve">حركية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دراسات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وإحصاءات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المستفيدة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المشروع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مجالات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وفرص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للمعاقين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تذليل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العقبات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للمعاق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highlight w:val="yellow"/>
                <w:u w:val="singl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للموقع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يخدم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التسهيلات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يقدمها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والمعاق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الشركات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شاشات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Janna LT" w:cs="Janna LT" w:eastAsia="Janna LT" w:hAnsi="Janna LT"/>
                <w:color w:val="008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دراسات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وإحصاءات</w:t>
            </w:r>
          </w:p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نمت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لحل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مشكلة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شملت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الموجودة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المواطنين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عام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المرأة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والمعاق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تبنت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تطبيق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36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برنامجا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ومبادرة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لمكافحة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تفشي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وتوفير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الشريف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للمواطنين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بينها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''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نطاقات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''،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والبرنامج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لإعانة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حافز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)،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وبرنامج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''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''،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وبرنامج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''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لقاءات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''،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وغيرها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استهدفت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جميعها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إعادة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هيكلة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السوق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الأفضل</w:t>
            </w:r>
            <w:r w:rsidDel="00000000" w:rsidR="00000000" w:rsidRPr="00000000">
              <w:rPr>
                <w:rFonts w:ascii="Janna LT" w:cs="Janna LT" w:eastAsia="Janna LT" w:hAnsi="Janna LT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Janna LT" w:cs="Janna LT" w:eastAsia="Janna LT" w:hAnsi="Janna LT"/>
                <w:color w:val="008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ونذكر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تلك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الإحصاءات</w:t>
            </w:r>
            <w:r w:rsidDel="00000000" w:rsidR="00000000" w:rsidRPr="00000000">
              <w:rPr>
                <w:rFonts w:ascii="Janna LT" w:cs="Janna LT" w:eastAsia="Janna LT" w:hAnsi="Janna LT"/>
                <w:color w:val="008000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مصلحة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الإحصاءات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tbl>
            <w:tblPr>
              <w:tblStyle w:val="Table2"/>
              <w:bidiVisual w:val="1"/>
              <w:tblW w:w="6930.0" w:type="dxa"/>
              <w:jc w:val="center"/>
              <w:tblLayout w:type="fixed"/>
              <w:tblLook w:val="0400"/>
            </w:tblPr>
            <w:tblGrid>
              <w:gridCol w:w="5400"/>
              <w:gridCol w:w="1530"/>
              <w:tblGridChange w:id="0">
                <w:tblGrid>
                  <w:gridCol w:w="5400"/>
                  <w:gridCol w:w="1530"/>
                </w:tblGrid>
              </w:tblGridChange>
            </w:tblGrid>
            <w:tr>
              <w:trPr>
                <w:trHeight w:val="495" w:hRule="atLeast"/>
              </w:trPr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A">
                  <w:pPr>
                    <w:bidi w:val="1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معدل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البطالة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8000"/>
                      <w:rtl w:val="0"/>
                    </w:rPr>
                    <w:t xml:space="preserve">%5.5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C">
                  <w:pPr>
                    <w:bidi w:val="1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معدل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البطالة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للسعوديين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عام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8000"/>
                      <w:rtl w:val="0"/>
                    </w:rPr>
                    <w:t xml:space="preserve">%12.1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E">
                  <w:pPr>
                    <w:bidi w:val="1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نسبة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السكان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العاملين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السكان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(2012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م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dotted"/>
                    <w:left w:color="000000" w:space="0" w:sz="6" w:val="dotted"/>
                    <w:bottom w:color="000000" w:space="0" w:sz="6" w:val="dotted"/>
                    <w:right w:color="000000" w:space="0" w:sz="6" w:val="dotted"/>
                  </w:tcBorders>
                  <w:shd w:fill="auto" w:val="clear"/>
                  <w:tcMar>
                    <w:top w:w="75.0" w:type="dxa"/>
                    <w:left w:w="75.0" w:type="dxa"/>
                    <w:bottom w:w="75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8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8000"/>
                      <w:rtl w:val="0"/>
                    </w:rPr>
                    <w:t xml:space="preserve">%35.6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bidi w:val="1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.................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</w:p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Janna LT" w:cs="Janna LT" w:eastAsia="Janna LT" w:hAnsi="Janna LT"/>
                <w:b w:val="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تبنت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الدولة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لحل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مشكلة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ظهرت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الآونة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الأخيرة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بنسب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مرتفعة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للمواطنين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التوجه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تنامت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إلينا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وتوظيف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أبنائنا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rtl w:val="1"/>
              </w:rPr>
              <w:t xml:space="preserve"> .. </w:t>
            </w:r>
          </w:p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Janna LT" w:cs="Janna LT" w:eastAsia="Janna LT" w:hAnsi="Janna LT"/>
                <w:b w:val="0"/>
                <w:color w:val="33996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تتلخص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الفكرة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المتطورة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لتهيئة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بأبسط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وأيسر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كذلك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تذليل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العقبات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تواجهها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أثناء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بنفس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فيستطيع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موظفيه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وضبط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ساعات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ومراقبة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ويستطيع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ضمان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حقوقه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بأفضل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وضعه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الصحي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color w:val="008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Janna LT" w:cs="Janna LT" w:eastAsia="Janna LT" w:hAnsi="Janna LT"/>
                <w:color w:val="ff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0000"/>
              </w:rPr>
              <mc:AlternateContent>
                <mc:Choice Requires="wpg">
                  <w:drawing>
                    <wp:inline distB="0" distT="0" distL="0" distR="0">
                      <wp:extent cx="4686300" cy="427672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0" cy="4276725"/>
                                <a:chOff x="0" y="0"/>
                                <a:chExt cx="4686300" cy="4276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4686300" cy="4276725"/>
                                  <a:chOff x="0" y="0"/>
                                  <a:chExt cx="4686300" cy="4276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4686300" cy="427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752035" y="1550686"/>
                                    <a:ext cx="1157171" cy="1165910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759336"/>
                                      </a:gs>
                                      <a:gs pos="80000">
                                        <a:srgbClr val="99C247"/>
                                      </a:gs>
                                      <a:gs pos="100000">
                                        <a:srgbClr val="9BC545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0" name="Shape 10"/>
                                <wps:spPr>
                                  <a:xfrm>
                                    <a:off x="1921499" y="1721430"/>
                                    <a:ext cx="818243" cy="824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إي دوام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83.99999618530273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E-Dawam</w:t>
                                      </w:r>
                                    </w:p>
                                  </w:txbxContent>
                                </wps:txbx>
                                <wps:bodyPr anchorCtr="0" anchor="ctr" bIns="15225" lIns="15225" spcFirstLastPara="1" rIns="15225" wrap="square" tIns="152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 rot="-5400000">
                                    <a:off x="2246579" y="1276283"/>
                                    <a:ext cx="168084" cy="241179"/>
                                  </a:xfrm>
                                  <a:prstGeom prst="rightArrow">
                                    <a:avLst>
                                      <a:gd fmla="val 60000" name="adj1"/>
                                      <a:gd fmla="val 5000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5D427D"/>
                                      </a:gs>
                                      <a:gs pos="80000">
                                        <a:srgbClr val="7A57A5"/>
                                      </a:gs>
                                      <a:gs pos="100000">
                                        <a:srgbClr val="7A56A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2" name="Shape 12"/>
                                <wps:spPr>
                                  <a:xfrm rot="-5400000">
                                    <a:off x="2271792" y="1349732"/>
                                    <a:ext cx="117659" cy="144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643593" y="2210"/>
                                    <a:ext cx="1374055" cy="1231335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5D427D"/>
                                      </a:gs>
                                      <a:gs pos="80000">
                                        <a:srgbClr val="7A57A5"/>
                                      </a:gs>
                                      <a:gs pos="100000">
                                        <a:srgbClr val="7A56A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4" name="Shape 14"/>
                                <wps:spPr>
                                  <a:xfrm>
                                    <a:off x="1844819" y="182535"/>
                                    <a:ext cx="971603" cy="870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توظيف المعاقين عن بعد 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965570" y="2013052"/>
                                    <a:ext cx="135783" cy="241179"/>
                                  </a:xfrm>
                                  <a:prstGeom prst="rightArrow">
                                    <a:avLst>
                                      <a:gd fmla="val 60000" name="adj1"/>
                                      <a:gd fmla="val 5000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3B3889"/>
                                      </a:gs>
                                      <a:gs pos="80000">
                                        <a:srgbClr val="4D4AB4"/>
                                      </a:gs>
                                      <a:gs pos="100000">
                                        <a:srgbClr val="4C48B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6" name="Shape 16"/>
                                <wps:spPr>
                                  <a:xfrm>
                                    <a:off x="2965570" y="2061288"/>
                                    <a:ext cx="95048" cy="144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165402" y="1531194"/>
                                    <a:ext cx="1361964" cy="1204894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3B3889"/>
                                      </a:gs>
                                      <a:gs pos="80000">
                                        <a:srgbClr val="4D4AB4"/>
                                      </a:gs>
                                      <a:gs pos="100000">
                                        <a:srgbClr val="4C48B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8" name="Shape 18"/>
                                <wps:spPr>
                                  <a:xfrm>
                                    <a:off x="3364857" y="1707647"/>
                                    <a:ext cx="963054" cy="8519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توظيف المعاقين بالشركات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7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"توظيف مباشر"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rot="5400000">
                                    <a:off x="2249081" y="2745242"/>
                                    <a:ext cx="163080" cy="241179"/>
                                  </a:xfrm>
                                  <a:prstGeom prst="rightArrow">
                                    <a:avLst>
                                      <a:gd fmla="val 60000" name="adj1"/>
                                      <a:gd fmla="val 5000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305693"/>
                                      </a:gs>
                                      <a:gs pos="80000">
                                        <a:srgbClr val="3F71C2"/>
                                      </a:gs>
                                      <a:gs pos="100000">
                                        <a:srgbClr val="3D70C5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0" name="Shape 20"/>
                                <wps:spPr>
                                  <a:xfrm rot="5400000">
                                    <a:off x="2273543" y="2769016"/>
                                    <a:ext cx="114156" cy="144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1647826" y="3024297"/>
                                    <a:ext cx="1365589" cy="1250217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305693"/>
                                      </a:gs>
                                      <a:gs pos="80000">
                                        <a:srgbClr val="3F71C2"/>
                                      </a:gs>
                                      <a:gs pos="100000">
                                        <a:srgbClr val="3D70C5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2" name="Shape 22"/>
                                <wps:spPr>
                                  <a:xfrm>
                                    <a:off x="1847812" y="3207387"/>
                                    <a:ext cx="965617" cy="8840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إدارة نظم العمل عن بعد 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 rot="10800000">
                                    <a:off x="1541096" y="2013052"/>
                                    <a:ext cx="149063" cy="241179"/>
                                  </a:xfrm>
                                  <a:prstGeom prst="rightArrow">
                                    <a:avLst>
                                      <a:gd fmla="val 60000" name="adj1"/>
                                      <a:gd fmla="val 50000" name="adj2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rgbClr val="28839E"/>
                                      </a:gs>
                                      <a:gs pos="80000">
                                        <a:srgbClr val="35ACCF"/>
                                      </a:gs>
                                      <a:gs pos="100000">
                                        <a:srgbClr val="31AFD4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4" name="Shape 24"/>
                                <wps:spPr>
                                  <a:xfrm>
                                    <a:off x="1585815" y="2061288"/>
                                    <a:ext cx="104344" cy="144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</w:p>
                                  </w:txbxContent>
                                </wps:txbx>
                                <wps:bodyPr anchorCtr="0" anchor="ctr" bIns="0" lIns="0" spcFirstLastPara="1" rIns="0" wrap="square" tIns="0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158932" y="1536582"/>
                                    <a:ext cx="1311850" cy="1194119"/>
                                  </a:xfrm>
                                  <a:prstGeom prst="ellipse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28839E"/>
                                      </a:gs>
                                      <a:gs pos="80000">
                                        <a:srgbClr val="35ACCF"/>
                                      </a:gs>
                                      <a:gs pos="100000">
                                        <a:srgbClr val="31AFD4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6" name="Shape 26"/>
                                <wps:spPr>
                                  <a:xfrm>
                                    <a:off x="351048" y="1711457"/>
                                    <a:ext cx="927618" cy="8443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0"/>
                                          <w:vertAlign w:val="baseline"/>
                                        </w:rPr>
                                        <w:t xml:space="preserve">سعودة الشركات الوطنية</w:t>
                                      </w:r>
                                    </w:p>
                                  </w:txbxContent>
                                </wps:txbx>
                                <wps:bodyPr anchorCtr="0" anchor="ctr" bIns="12700" lIns="12700" spcFirstLastPara="1" rIns="12700" wrap="square" tIns="12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686300" cy="42767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86300" cy="427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Janna LT" w:cs="Janna LT" w:eastAsia="Janna LT" w:hAnsi="Janna LT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851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781925" cy="1905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69331" y="3684750"/>
                        <a:ext cx="7781925" cy="190500"/>
                        <a:chOff x="1469331" y="3684750"/>
                        <a:chExt cx="7753338" cy="190501"/>
                      </a:xfrm>
                    </wpg:grpSpPr>
                    <wpg:grpSp>
                      <wpg:cNvGrpSpPr/>
                      <wpg:grpSpPr>
                        <a:xfrm>
                          <a:off x="1469331" y="3684750"/>
                          <a:ext cx="7753338" cy="190501"/>
                          <a:chOff x="0" y="14970"/>
                          <a:chExt cx="12255" cy="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14970"/>
                            <a:ext cx="1225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0803" y="14982"/>
                            <a:ext cx="65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PAGE    \* MERGEFORMAT </w:t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8c8c8c"/>
                                  <w:sz w:val="22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0" lIns="0" spcFirstLastPara="1" rIns="0" wrap="square" tIns="0">
                          <a:noAutofit/>
                        </wps:bodyPr>
                      </wps:wsp>
                      <wpg:grpSp>
                        <wpg:cNvGrpSpPr/>
                        <wpg:grpSpPr>
                          <a:xfrm flipH="1">
                            <a:off x="0" y="14970"/>
                            <a:ext cx="12255" cy="230"/>
                            <a:chOff x="-8" y="14978"/>
                            <a:chExt cx="12255" cy="230"/>
                          </a:xfrm>
                        </wpg:grpSpPr>
                        <wps:wsp>
                          <wps:cNvCnPr/>
                          <wps:spPr>
                            <a:xfrm flipH="1" rot="10800000">
                              <a:off x="-8" y="14978"/>
                              <a:ext cx="1260" cy="230"/>
                            </a:xfrm>
                            <a:prstGeom prst="bentConnector3">
                              <a:avLst>
                                <a:gd fmla="val 923254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252" y="14978"/>
                              <a:ext cx="10995" cy="230"/>
                            </a:xfrm>
                            <a:prstGeom prst="bentConnector3">
                              <a:avLst>
                                <a:gd fmla="val 14609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0</wp:posOffset>
              </wp:positionV>
              <wp:extent cx="7781925" cy="1905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c0504d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9bbb59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