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16.0" w:type="dxa"/>
        <w:jc w:val="left"/>
        <w:tblInd w:w="-10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16"/>
        <w:tblGridChange w:id="0">
          <w:tblGrid>
            <w:gridCol w:w="10416"/>
          </w:tblGrid>
        </w:tblGridChange>
      </w:tblGrid>
      <w:tr>
        <w:tc>
          <w:tcPr>
            <w:shd w:fill="ddd9c4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80808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</w:p>
          <w:p w:rsidR="00000000" w:rsidDel="00000000" w:rsidP="00000000" w:rsidRDefault="00000000" w:rsidRPr="00000000" w14:paraId="00000004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تفاعلية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بالدرجة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وأسرهم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...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تعتمد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تقنيات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لتيسير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سبل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لديها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شاغرة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العمالة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تحتاج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ومناسبة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وتتيح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سبل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26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خيارات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وظيفية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وأسرهم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26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حلقة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26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مبسطة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التمتع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لكيفية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وإنشاء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مميزة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المفضلة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استقبال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مقترحة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تتوقف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المرغوبة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اشعارات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وتنبيهات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راغب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الابلاغ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مخالفات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والاعلانات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أرشيف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وظائفي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ظهور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سيرتي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والإنتاج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فعالة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التمتع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لكيفية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والتمتع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تصنيفات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ومجالات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الرواتب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التصنيفات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المفضلة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وإضافتهم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الإبلاغ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مخالفات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احصاءات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أرشيف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لوظائفي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قمت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بإضافتها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أحدث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النظريات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تساند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المدراء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أعمالهم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فعالة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رابط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8"/>
                  <w:szCs w:val="28"/>
                  <w:u w:val="single"/>
                  <w:rtl w:val="0"/>
                </w:rPr>
                <w:t xml:space="preserve">www.edawam.com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4743450" cy="16478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3450" cy="1647825"/>
                                <a:chOff x="0" y="0"/>
                                <a:chExt cx="4743450" cy="1647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743450" cy="1647825"/>
                                  <a:chOff x="0" y="0"/>
                                  <a:chExt cx="4743450" cy="16478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4743450" cy="1647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428763" y="648398"/>
                                    <a:ext cx="1253672" cy="413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" name="Shape 6"/>
                                <wps:spPr>
                                  <a:xfrm>
                                    <a:off x="3428763" y="648398"/>
                                    <a:ext cx="1253672" cy="413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974806"/>
                                          <w:sz w:val="32"/>
                                          <w:vertAlign w:val="baseline"/>
                                        </w:rPr>
                                        <w:t xml:space="preserve">الإطلاق</w:t>
                                      </w:r>
                                    </w:p>
                                  </w:txbxContent>
                                </wps:txbx>
                                <wps:bodyPr anchorCtr="0" anchor="ctr" bIns="20300" lIns="20300" spcFirstLastPara="1" rIns="20300" wrap="square" tIns="20300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427338" y="522746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F504D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497145" y="383132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E584D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664681" y="411055"/>
                                    <a:ext cx="156709" cy="1567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E604D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804295" y="257480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D684E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985792" y="201634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D714F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209174" y="299364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D7A4F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4348788" y="369171"/>
                                    <a:ext cx="156709" cy="1567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C8250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4544247" y="522746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C8A50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4628015" y="676320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B9252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902024" y="383132"/>
                                    <a:ext cx="256433" cy="2564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B9952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57531" y="913664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CA252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441299" y="1039316"/>
                                    <a:ext cx="156709" cy="1567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BA954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650720" y="1151007"/>
                                    <a:ext cx="227940" cy="2279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BB054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943908" y="1332504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AB85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3999754" y="1151007"/>
                                    <a:ext cx="156709" cy="1567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6BA5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4139367" y="1346466"/>
                                    <a:ext cx="99723" cy="997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FBA56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4265019" y="1123084"/>
                                    <a:ext cx="227940" cy="2279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8B957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4572169" y="1067239"/>
                                    <a:ext cx="156709" cy="1567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0B957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 rot="10800000">
                                    <a:off x="2897299" y="410822"/>
                                    <a:ext cx="460232" cy="878633"/>
                                  </a:xfrm>
                                  <a:prstGeom prst="chevron">
                                    <a:avLst>
                                      <a:gd fmla="val 62310" name="adj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1642120" y="411249"/>
                                    <a:ext cx="1255179" cy="87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7" name="Shape 27"/>
                                <wps:spPr>
                                  <a:xfrm>
                                    <a:off x="1642120" y="411249"/>
                                    <a:ext cx="1255179" cy="87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974806"/>
                                          <w:sz w:val="32"/>
                                          <w:vertAlign w:val="baseline"/>
                                        </w:rPr>
                                        <w:t xml:space="preserve">التشغيل</w:t>
                                      </w:r>
                                    </w:p>
                                  </w:txbxContent>
                                </wps:txbx>
                                <wps:bodyPr anchorCtr="0" anchor="ctr" bIns="20300" lIns="20300" spcFirstLastPara="1" rIns="20300" wrap="square" tIns="20300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 rot="10800000">
                                    <a:off x="1181887" y="410822"/>
                                    <a:ext cx="460232" cy="878633"/>
                                  </a:xfrm>
                                  <a:prstGeom prst="chevron">
                                    <a:avLst>
                                      <a:gd fmla="val 62310" name="adj"/>
                                    </a:avLst>
                                  </a:prstGeom>
                                  <a:solidFill>
                                    <a:srgbClr val="99B95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64778" y="338210"/>
                                    <a:ext cx="1066902" cy="106690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B958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0" name="Shape 30"/>
                                <wps:spPr>
                                  <a:xfrm>
                                    <a:off x="221022" y="494454"/>
                                    <a:ext cx="754414" cy="7544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974806"/>
                                          <w:sz w:val="32"/>
                                          <w:vertAlign w:val="baseline"/>
                                        </w:rPr>
                                        <w:t xml:space="preserve">التطوير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743450" cy="164782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43450" cy="164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color w:val="984806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تتمركز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خطة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تشغيل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الأن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الإطلاق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تشمل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والمميزات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توضيحها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يوجد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بعض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إضافتها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مرحلة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التطوير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مثال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التحاقهم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بأفضل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فرصة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المجالات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لاختبار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الأفضل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واختياره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أسرع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وأكثر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فعالية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الجوال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hyperlink r:id="rId8">
              <w:r w:rsidDel="00000000" w:rsidR="00000000" w:rsidRPr="00000000">
                <w:rPr>
                  <w:rFonts w:ascii="Janna LT" w:cs="Janna LT" w:eastAsia="Janna LT" w:hAnsi="Janna LT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www.edawam.com</w:t>
              </w:r>
            </w:hyperlink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79646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4" w:hRule="atLeast"/>
        </w:trPr>
        <w:tc>
          <w:tcPr/>
          <w:p w:rsidR="00000000" w:rsidDel="00000000" w:rsidP="00000000" w:rsidRDefault="00000000" w:rsidRPr="00000000" w14:paraId="0000002B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لتسهيل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الجوال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تضم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الامكانات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مقترحة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تتوقف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المرغوبة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إلغاء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للمفضلة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الشائعة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سياسة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الخصوصية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الانضمام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</w:tc>
      </w:tr>
    </w:tbl>
    <w:p w:rsidR="00000000" w:rsidDel="00000000" w:rsidP="00000000" w:rsidRDefault="00000000" w:rsidRPr="00000000" w14:paraId="00000032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851" w:left="1800" w:right="1800" w:header="708" w:footer="2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-1168399</wp:posOffset>
              </wp:positionH>
              <wp:positionV relativeFrom="paragraph">
                <wp:posOffset>63500</wp:posOffset>
              </wp:positionV>
              <wp:extent cx="7620000" cy="295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0763" y="3637125"/>
                        <a:ext cx="7610475" cy="285750"/>
                      </a:xfrm>
                      <a:prstGeom prst="rect">
                        <a:avLst/>
                      </a:prstGeom>
                      <a:solidFill>
                        <a:srgbClr val="97480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-1168399</wp:posOffset>
              </wp:positionH>
              <wp:positionV relativeFrom="paragraph">
                <wp:posOffset>63500</wp:posOffset>
              </wp:positionV>
              <wp:extent cx="7620000" cy="2952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color w:val="80808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"/>
      <w:lvlJc w:val="left"/>
      <w:pPr>
        <w:ind w:left="720" w:hanging="360"/>
      </w:pPr>
      <w:rPr>
        <w:rFonts w:ascii="Arimo" w:cs="Arimo" w:eastAsia="Arimo" w:hAnsi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edawam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edawam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