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632.0" w:type="dxa"/>
        <w:jc w:val="left"/>
        <w:tblInd w:w="-5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32"/>
        <w:tblGridChange w:id="0">
          <w:tblGrid>
            <w:gridCol w:w="10632"/>
          </w:tblGrid>
        </w:tblGridChange>
      </w:tblGrid>
      <w:tr>
        <w:tc>
          <w:tcPr>
            <w:shd w:fill="7f7f7f" w:val="clea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مشروع</w:t>
            </w: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العمل</w:t>
            </w: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عن</w:t>
            </w: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بعد</w:t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shd w:fill="ffffff" w:val="clear"/>
              <w:bidi w:val="1"/>
              <w:spacing w:befor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جاءت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فكرة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انطلاقا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التحدي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تواجهه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السعودية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حاليا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للمواطنين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السعوديين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القطاع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وكذلك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الحكومي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لزيادة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السعودة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السعودية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04">
            <w:pPr>
              <w:shd w:fill="ffffff" w:val="clear"/>
              <w:bidi w:val="1"/>
              <w:spacing w:befor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وهذا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يتطلب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خلق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نظم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وسياسات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تقنية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تمكن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الوصول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للموظف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المناسب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والكفء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والعكس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05">
            <w:pPr>
              <w:shd w:fill="ffffff" w:val="clear"/>
              <w:bidi w:val="1"/>
              <w:spacing w:befor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ويتبعها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وسيلة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الكترونية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توفر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"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تواصل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فعال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صاحب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يحقق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مراقبة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الأداء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والإنتاج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والتقييم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المستمر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وتحسين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مما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يؤسس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علاقة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مثالية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ترضي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الطرفين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وترفع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مستويات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الثقة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بينهما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shd w:fill="ffffff" w:val="clear"/>
              <w:bidi w:val="1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بوابة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إلكترونية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تهدف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بالدرجة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الأولى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"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تسهيل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وإدارة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وتقديم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إلكترونيا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ً.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الشرائح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يخدمها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hd w:fill="ffffff" w:val="clear"/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يخدم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شريحتين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اساسيتين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هما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،،،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صاحب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اهداف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خفض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البطالة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زيادة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ضمان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حقوق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مراعاة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تحري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وحماية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الخصوصية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الطرفين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بمنتجات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وتقارير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الكترونية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مبتكرة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المواءمة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الصحيحة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أصحاب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مؤهلات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وخبرات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60"/>
                <w:tab w:val="right" w:pos="1650"/>
              </w:tabs>
              <w:bidi w:val="1"/>
              <w:spacing w:after="200" w:before="0" w:line="276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يعتمد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بوابة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تحقق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أهداف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صممت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وفق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تقنية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تكنولوجية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تخدم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معا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right" w:pos="1650"/>
              </w:tabs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وفيما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شرح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مبسط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وكيفية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،،،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hd w:fill="ffffff" w:val="clear"/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اولا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ً: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خدمات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البوابة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: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التسجيل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والباحثين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":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200" w:before="0" w:line="276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يتمكن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التصفح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بسهولة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والوصول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للمعلومات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دقيقة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ومباشرة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المتقدم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صاحب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الباحث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وظيفة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":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200" w:before="0" w:line="276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تمكن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المستخدم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بطرق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مختلفة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تسهل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عنها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85"/>
                <w:tab w:val="right" w:pos="930"/>
                <w:tab w:val="right" w:pos="1065"/>
              </w:tabs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الباحث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85"/>
                <w:tab w:val="right" w:pos="930"/>
                <w:tab w:val="right" w:pos="1065"/>
              </w:tabs>
              <w:bidi w:val="1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مجموعة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الايقونات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إنشاء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سيرتك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فيديو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إنشاء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السيرة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السيرة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حملي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سيرتك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اختبري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نفسك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المقترحة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وتدريب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85"/>
                <w:tab w:val="right" w:pos="930"/>
                <w:tab w:val="right" w:pos="1065"/>
              </w:tabs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اصحاب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الاعمال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85"/>
                <w:tab w:val="right" w:pos="930"/>
                <w:tab w:val="right" w:pos="1065"/>
              </w:tabs>
              <w:bidi w:val="1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يدخل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صاحب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المشترك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ليبدأ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بالاستفادة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توفرها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كصاحب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اعلن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وظيفة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اختبارك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أرشف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سجلاتك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تواصل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85"/>
                <w:tab w:val="right" w:pos="930"/>
                <w:tab w:val="right" w:pos="1065"/>
              </w:tabs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صفحات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شبكات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85"/>
                <w:tab w:val="right" w:pos="930"/>
                <w:tab w:val="right" w:pos="1065"/>
              </w:tabs>
              <w:bidi w:val="1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لزيادة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تفاعل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الزوار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والترويج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لخدماتها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وزيادة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، 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بصفحات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الفيس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بوك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وتويتر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hd w:fill="ffffff" w:val="clear"/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ثانيا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ً: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إدارة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: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bidi w:val="1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نظرا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لوجود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المخاوف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كيفية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وإدارة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تحفز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للإقبال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حرصنا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وإدارة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الوظيفية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تكنولوجية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تربط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صاحب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بالموظف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وتبدأ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الادارة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اجراءات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كالاتي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،،،</w:t>
            </w:r>
          </w:p>
          <w:p w:rsidR="00000000" w:rsidDel="00000000" w:rsidP="00000000" w:rsidRDefault="00000000" w:rsidRPr="00000000" w14:paraId="00000023">
            <w:pPr>
              <w:bidi w:val="1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التحقق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200" w:before="0" w:line="276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لضمان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إتمام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شروط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للشركات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التأكد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طالبي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دقيقة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بالتأمينات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مباشرة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بمجرد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بالشركة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وبالتالي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التأكد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صحة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بسجل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الاحوال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المدنية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بدورها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ستمكننا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التحقق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المدرجة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طالبي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والتعاقد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والموظف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واجراء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المقابلات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200" w:before="0" w:line="276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اصدارها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بصفة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اسبوعية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بالمهام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ومدى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التزامه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بتنفيذ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ودقتها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لمواعيد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انجاز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المخولة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تنبيهات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200" w:before="0" w:line="276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للشركات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والموظف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بتأخر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الاعمال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الخصومات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الإنذارات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وكذلك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تأخر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موعد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تسليم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المرتبات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وغيرها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يظهر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بالموقع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اشكال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،،،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شخصي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والموظف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يضم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سابقة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الاعمال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والمؤهلات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وغيرها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20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القائمة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السوداء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بالشركات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تكرر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السلبي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وقائمة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بالموظفين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تكرر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تقيمهم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بنفس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العيوب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والأخطاء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الشكاوي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تضم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صفحة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مخصصة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لطرح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مقترحات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شكاوي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أصحاب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الأعمال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إنهاء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مقننة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وبشروط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محددة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فإن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إنهاء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يضمن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حقوق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بحيث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تغطي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مستحقات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إنهاء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تعاقده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الجانب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الأخر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يلتزم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بتوفير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إنهاء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تسليم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الأعمال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كاملة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النشر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الاعلامي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804c8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bidi w:val="1"/>
              <w:spacing w:before="240" w:line="276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المرحلة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الثانية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تطور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ثبات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نجاحه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ويعتمد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،،،</w:t>
            </w:r>
          </w:p>
          <w:p w:rsidR="00000000" w:rsidDel="00000000" w:rsidP="00000000" w:rsidRDefault="00000000" w:rsidRPr="00000000" w14:paraId="00000034">
            <w:pPr>
              <w:bidi w:val="1"/>
              <w:spacing w:before="240" w:line="276" w:lineRule="auto"/>
              <w:jc w:val="both"/>
              <w:rPr>
                <w:color w:val="00602b"/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إعلامية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لنشر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أخبار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مثال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،،،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أخبار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الشراكة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المؤسسات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أخبار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مجموعات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مختلفة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المسجلين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بالإحصائيات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الدقيقة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لها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708" w:footer="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ourier New"/>
  <w:font w:name="Times New Roman"/>
  <w:font w:name="Traditional Arabic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-469899</wp:posOffset>
              </wp:positionV>
              <wp:extent cx="7590790" cy="258253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50605" y="3650874"/>
                        <a:ext cx="7590790" cy="258253"/>
                        <a:chOff x="1550605" y="3650874"/>
                        <a:chExt cx="7590790" cy="258253"/>
                      </a:xfrm>
                    </wpg:grpSpPr>
                    <wpg:grpSp>
                      <wpg:cNvGrpSpPr/>
                      <wpg:grpSpPr>
                        <a:xfrm>
                          <a:off x="1550605" y="3650874"/>
                          <a:ext cx="7590790" cy="258253"/>
                          <a:chOff x="0" y="0"/>
                          <a:chExt cx="7590790" cy="25825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90775" cy="25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590790" cy="85725"/>
                          </a:xfrm>
                          <a:prstGeom prst="rect">
                            <a:avLst/>
                          </a:prstGeom>
                          <a:solidFill>
                            <a:srgbClr val="FC70F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172528"/>
                            <a:ext cx="7590790" cy="8572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-469899</wp:posOffset>
              </wp:positionV>
              <wp:extent cx="7590790" cy="258253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0790" cy="25825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c804c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576" w:hanging="576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720" w:hanging="72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  <w:ind w:left="864" w:hanging="864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1008" w:hanging="1008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1152" w:hanging="1152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