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before="240" w:line="360" w:lineRule="auto"/>
        <w:jc w:val="center"/>
        <w:rPr>
          <w:color w:val="984806"/>
          <w:sz w:val="36"/>
          <w:szCs w:val="36"/>
          <w:u w:val="single"/>
        </w:rPr>
      </w:pP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النقاط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المطروحة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للمناقشة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بعرض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مشروع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العمل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عن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color w:val="984806"/>
          <w:sz w:val="36"/>
          <w:szCs w:val="36"/>
          <w:u w:val="single"/>
          <w:rtl w:val="1"/>
        </w:rPr>
        <w:t xml:space="preserve">بعد</w:t>
      </w:r>
    </w:p>
    <w:p w:rsidR="00000000" w:rsidDel="00000000" w:rsidP="00000000" w:rsidRDefault="00000000" w:rsidRPr="00000000" w14:paraId="00000002">
      <w:pPr>
        <w:bidi w:val="1"/>
        <w:spacing w:after="0" w:before="240" w:line="360" w:lineRule="auto"/>
        <w:rPr>
          <w:sz w:val="24"/>
          <w:szCs w:val="24"/>
          <w:highlight w:val="yellow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2950e1"/>
          <w:sz w:val="40"/>
          <w:szCs w:val="40"/>
          <w:u w:val="single"/>
          <w:rtl w:val="1"/>
        </w:rPr>
        <w:t xml:space="preserve">العوامل</w:t>
      </w:r>
      <w:r w:rsidDel="00000000" w:rsidR="00000000" w:rsidRPr="00000000">
        <w:rPr>
          <w:b w:val="1"/>
          <w:color w:val="2950e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950e1"/>
          <w:sz w:val="40"/>
          <w:szCs w:val="40"/>
          <w:u w:val="single"/>
          <w:rtl w:val="1"/>
        </w:rPr>
        <w:t xml:space="preserve">المؤثرة</w:t>
      </w:r>
      <w:r w:rsidDel="00000000" w:rsidR="00000000" w:rsidRPr="00000000">
        <w:rPr>
          <w:b w:val="1"/>
          <w:color w:val="2950e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950e1"/>
          <w:sz w:val="40"/>
          <w:szCs w:val="40"/>
          <w:u w:val="single"/>
          <w:rtl w:val="1"/>
        </w:rPr>
        <w:t xml:space="preserve">في</w:t>
      </w:r>
      <w:r w:rsidDel="00000000" w:rsidR="00000000" w:rsidRPr="00000000">
        <w:rPr>
          <w:b w:val="1"/>
          <w:color w:val="2950e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950e1"/>
          <w:sz w:val="40"/>
          <w:szCs w:val="40"/>
          <w:u w:val="single"/>
          <w:rtl w:val="1"/>
        </w:rPr>
        <w:t xml:space="preserve">نجاح</w:t>
      </w:r>
      <w:r w:rsidDel="00000000" w:rsidR="00000000" w:rsidRPr="00000000">
        <w:rPr>
          <w:b w:val="1"/>
          <w:color w:val="2950e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color w:val="2950e1"/>
          <w:sz w:val="40"/>
          <w:szCs w:val="40"/>
          <w:u w:val="single"/>
          <w:rtl w:val="1"/>
        </w:rPr>
        <w:t xml:space="preserve">المشروع</w:t>
      </w:r>
      <w:r w:rsidDel="00000000" w:rsidR="00000000" w:rsidRPr="00000000">
        <w:rPr>
          <w:b w:val="1"/>
          <w:color w:val="2950e1"/>
          <w:sz w:val="40"/>
          <w:szCs w:val="40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والشفافية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طرفي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الشراكة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والمتمثل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وصندوق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والإدارة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التنفيذية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المشغلة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للمناقشة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2950e1"/>
          <w:sz w:val="40"/>
          <w:szCs w:val="40"/>
          <w:rtl w:val="1"/>
        </w:rPr>
        <w:t xml:space="preserve">آلية</w:t>
      </w:r>
      <w:r w:rsidDel="00000000" w:rsidR="00000000" w:rsidRPr="00000000">
        <w:rPr>
          <w:b w:val="1"/>
          <w:color w:val="2950e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2950e1"/>
          <w:sz w:val="40"/>
          <w:szCs w:val="40"/>
          <w:rtl w:val="1"/>
        </w:rPr>
        <w:t xml:space="preserve">العمل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توفر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البوابة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التقنية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اللازمة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لمتابعة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الموظف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"</w:t>
      </w:r>
      <w:r w:rsidDel="00000000" w:rsidR="00000000" w:rsidRPr="00000000">
        <w:rPr>
          <w:sz w:val="24"/>
          <w:szCs w:val="24"/>
          <w:rtl w:val="1"/>
        </w:rPr>
        <w:t xml:space="preserve">الحضور</w:t>
      </w:r>
      <w:r w:rsidDel="00000000" w:rsidR="00000000" w:rsidRPr="00000000">
        <w:rPr>
          <w:sz w:val="24"/>
          <w:szCs w:val="24"/>
          <w:rtl w:val="1"/>
        </w:rPr>
        <w:t xml:space="preserve"> ،</w:t>
      </w:r>
      <w:r w:rsidDel="00000000" w:rsidR="00000000" w:rsidRPr="00000000">
        <w:rPr>
          <w:sz w:val="24"/>
          <w:szCs w:val="24"/>
          <w:rtl w:val="1"/>
        </w:rPr>
        <w:t xml:space="preserve">الغياب</w:t>
      </w:r>
      <w:r w:rsidDel="00000000" w:rsidR="00000000" w:rsidRPr="00000000">
        <w:rPr>
          <w:sz w:val="24"/>
          <w:szCs w:val="24"/>
          <w:rtl w:val="1"/>
        </w:rPr>
        <w:t xml:space="preserve"> ،</w:t>
      </w:r>
      <w:r w:rsidDel="00000000" w:rsidR="00000000" w:rsidRPr="00000000">
        <w:rPr>
          <w:sz w:val="24"/>
          <w:szCs w:val="24"/>
          <w:rtl w:val="1"/>
        </w:rPr>
        <w:t xml:space="preserve">الاذونات</w:t>
      </w:r>
      <w:r w:rsidDel="00000000" w:rsidR="00000000" w:rsidRPr="00000000">
        <w:rPr>
          <w:sz w:val="24"/>
          <w:szCs w:val="24"/>
          <w:rtl w:val="1"/>
        </w:rPr>
        <w:t xml:space="preserve"> ،</w:t>
      </w:r>
      <w:r w:rsidDel="00000000" w:rsidR="00000000" w:rsidRPr="00000000">
        <w:rPr>
          <w:sz w:val="24"/>
          <w:szCs w:val="24"/>
          <w:rtl w:val="1"/>
        </w:rPr>
        <w:t xml:space="preserve">الانصراف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والشكاوي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وغيرها</w:t>
      </w:r>
      <w:r w:rsidDel="00000000" w:rsidR="00000000" w:rsidRPr="00000000">
        <w:rPr>
          <w:sz w:val="24"/>
          <w:szCs w:val="24"/>
          <w:rtl w:val="1"/>
        </w:rPr>
        <w:t xml:space="preserve">" ( </w:t>
      </w:r>
      <w:r w:rsidDel="00000000" w:rsidR="00000000" w:rsidRPr="00000000">
        <w:rPr>
          <w:sz w:val="24"/>
          <w:szCs w:val="24"/>
          <w:rtl w:val="1"/>
        </w:rPr>
        <w:t xml:space="preserve">للمناقشة</w:t>
      </w:r>
      <w:r w:rsidDel="00000000" w:rsidR="00000000" w:rsidRPr="00000000">
        <w:rPr>
          <w:sz w:val="24"/>
          <w:szCs w:val="24"/>
          <w:rtl w:val="1"/>
        </w:rPr>
        <w:t xml:space="preserve"> )</w:t>
      </w:r>
    </w:p>
    <w:tbl>
      <w:tblPr>
        <w:tblStyle w:val="Table1"/>
        <w:bidiVisual w:val="1"/>
        <w:tblW w:w="11056.999999999998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298"/>
        <w:gridCol w:w="3759"/>
        <w:tblGridChange w:id="0">
          <w:tblGrid>
            <w:gridCol w:w="7298"/>
            <w:gridCol w:w="3759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311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المتابعة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تكنولوجية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تربط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صاحب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بالموظف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،،،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وضبط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الجودة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وحجم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الأعمال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المنجزة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1047750" cy="104775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داخل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للتعامل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ويرجع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الخيار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صاحب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يعطي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والصلاحيات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التعامل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معه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تعاملات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المتواجدة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بالفعل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بالشركة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360" w:lineRule="auto"/>
              <w:ind w:left="720" w:right="0" w:hanging="360"/>
              <w:jc w:val="left"/>
              <w:rPr>
                <w:rFonts w:ascii="Calibri" w:cs="Calibri" w:eastAsia="Calibri" w:hAnsi="Calibri"/>
                <w:i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متابعة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وإرسالها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البوابة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0F">
      <w:pPr>
        <w:bidi w:val="1"/>
        <w:rPr>
          <w:rFonts w:ascii="Times New Roman" w:cs="Times New Roman" w:eastAsia="Times New Roman" w:hAnsi="Times New Roman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Times New Roman" w:cs="Times New Roman" w:eastAsia="Times New Roman" w:hAnsi="Times New Roman"/>
          <w:color w:val="1f497d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11" w:hanging="360"/>
      </w:pPr>
      <w:rPr>
        <w:rFonts w:ascii="Noto Sans Symbols" w:cs="Noto Sans Symbols" w:eastAsia="Noto Sans Symbols" w:hAnsi="Noto Sans Symbols"/>
        <w:color w:val="1f497d"/>
      </w:rPr>
    </w:lvl>
    <w:lvl w:ilvl="1">
      <w:start w:val="1"/>
      <w:numFmt w:val="bullet"/>
      <w:lvlText w:val="o"/>
      <w:lvlJc w:val="left"/>
      <w:pPr>
        <w:ind w:left="103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5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7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9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1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3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5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7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smallCap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