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اي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دوام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والعمل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التطور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البنى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التحتية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لتقنيات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تفعيل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أسلوب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كأحد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القوى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العاملة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والاهتمام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بدمج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والسعي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حقوقهم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ملائمة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وكريمة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تتسم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بالدوام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color w:val="363636"/>
          <w:sz w:val="28"/>
          <w:szCs w:val="28"/>
        </w:rPr>
      </w:pPr>
      <w:r w:rsidDel="00000000" w:rsidR="00000000" w:rsidRPr="00000000">
        <w:rPr>
          <w:color w:val="363636"/>
          <w:sz w:val="28"/>
          <w:szCs w:val="28"/>
          <w:rtl w:val="1"/>
        </w:rPr>
        <w:t xml:space="preserve">وخلق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فرص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وظيفية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كثيرة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للمرأة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لتحقق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طموحاتها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العملية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والمهنية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توفير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بيئة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عمل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مثالية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تجعلها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تقدم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لديها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مؤهلات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علمية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وخبرات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المنزل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منظومة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متكاملة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تضمن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الجاد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سواء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كان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دواما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كاملا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جزئيا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بكل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كفاءة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وإنتاجية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الفئة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المستهدفة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للعمل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بمشروع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دوام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نستهدف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شريحتين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الذكور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والاناث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للأستفادة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قدراتهم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وأمكانياتهم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المؤهلاتهم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العلمية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لطالبي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نستهدف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إي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دوام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شريحتين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طالبي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26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شريحة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رئيسية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الحاصلين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المتوسطة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   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1260" w:right="0" w:hanging="360"/>
        <w:jc w:val="left"/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شريحة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ثانوية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 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المتوسطة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بشرط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مؤهل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تدريبي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ملائم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لمهام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both"/>
        <w:rPr>
          <w:rFonts w:ascii="Calibri" w:cs="Calibri" w:eastAsia="Calibri" w:hAnsi="Calibri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المدن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المستهدفة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للعمل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بمشروع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دوام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:</w:t>
      </w:r>
    </w:p>
    <w:p w:rsidR="00000000" w:rsidDel="00000000" w:rsidP="00000000" w:rsidRDefault="00000000" w:rsidRPr="00000000" w14:paraId="00000011">
      <w:pPr>
        <w:bidi w:val="1"/>
        <w:rPr>
          <w:color w:val="363636"/>
          <w:sz w:val="28"/>
          <w:szCs w:val="28"/>
        </w:rPr>
      </w:pPr>
      <w:r w:rsidDel="00000000" w:rsidR="00000000" w:rsidRPr="00000000">
        <w:rPr>
          <w:color w:val="363636"/>
          <w:sz w:val="28"/>
          <w:szCs w:val="28"/>
          <w:rtl w:val="1"/>
        </w:rPr>
        <w:t xml:space="preserve">يوفر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فرص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عمل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حقيقية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لقطاع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كبير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الكوادر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المؤهلة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بالمملكة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وخاصة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سكان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 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الهجر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 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والقرى</w:t>
      </w:r>
    </w:p>
    <w:p w:rsidR="00000000" w:rsidDel="00000000" w:rsidP="00000000" w:rsidRDefault="00000000" w:rsidRPr="00000000" w14:paraId="00000012">
      <w:pPr>
        <w:bidi w:val="1"/>
        <w:rPr>
          <w:color w:val="363636"/>
          <w:sz w:val="28"/>
          <w:szCs w:val="28"/>
        </w:rPr>
      </w:pPr>
      <w:r w:rsidDel="00000000" w:rsidR="00000000" w:rsidRPr="00000000">
        <w:rPr>
          <w:color w:val="363636"/>
          <w:sz w:val="28"/>
          <w:szCs w:val="28"/>
          <w:rtl w:val="1"/>
        </w:rPr>
        <w:t xml:space="preserve">ولقد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بدأنا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إي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دوام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بعقد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شراكات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جمعيات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المنطقة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الجنوبية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بدءا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بجمعيه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الليث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لتحفيظ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القرأن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 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وسيتم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شراكات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تمكننا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التوسع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للإستفادة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تشجيع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للشركات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توظيفهم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الوظائف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المتوقع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شغلها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: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تنفيذها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بالمملكة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حاليا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TT16D5o00" w:cs="TT16D5o00" w:eastAsia="TT16D5o00" w:hAnsi="TT16D5o00"/>
          <w:rtl w:val="0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المراجعة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والإملائية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للمطبوعات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TT16D5o00" w:cs="TT16D5o00" w:eastAsia="TT16D5o00" w:hAnsi="TT16D5o00"/>
          <w:rtl w:val="0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الترجمة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TT16D5o00" w:cs="TT16D5o00" w:eastAsia="TT16D5o00" w:hAnsi="TT16D5o00"/>
          <w:rtl w:val="0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تصميم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وإعداد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البرمجيات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TT16D5o00" w:cs="TT16D5o00" w:eastAsia="TT16D5o00" w:hAnsi="TT16D5o00"/>
          <w:rtl w:val="0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تصميم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وتطوير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مواقع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الإنترنت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TT16D5o00" w:cs="TT16D5o00" w:eastAsia="TT16D5o00" w:hAnsi="TT16D5o00"/>
          <w:rtl w:val="0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المحاسبية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والمالية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TT16D5o00" w:cs="TT16D5o00" w:eastAsia="TT16D5o00" w:hAnsi="TT16D5o00"/>
          <w:rtl w:val="0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الرسوم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الهندسية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المعمارية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TT16D5o00" w:cs="TT16D5o00" w:eastAsia="TT16D5o00" w:hAnsi="TT16D5o00"/>
          <w:rtl w:val="0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القانونية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TT16D5o00" w:cs="TT16D5o00" w:eastAsia="TT16D5o00" w:hAnsi="TT16D5o00"/>
          <w:rtl w:val="0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الاستشارية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TT16D5o00" w:cs="TT16D5o00" w:eastAsia="TT16D5o00" w:hAnsi="TT16D5o00"/>
          <w:rtl w:val="0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الكتابة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الصحف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والمجلات</w:t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الدعاية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والإعلان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وتصميمها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الاستشارية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البنكية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السكرتارية</w:t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اعمال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الجرافيك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إدخال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البيانات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•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خدمات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عملاء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هاتفية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مميزات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سهولة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ضرورة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للتواجد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الفعلي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إتاحة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الفرصة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للمرأة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حقوقها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وخصوصيتها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يتعارض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ضبط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اداري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وانتاجية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مزايا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وفوائد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للمجتمع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وصاحب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والعامل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السعودة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سنستخدم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الكترونية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ادارية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وخدمات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ادارية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إختيارية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للشركات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)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       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نضمن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باستخدامها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تفعيل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مستمر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ومتزايد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الموظف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احتساب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كنطاقات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للشركات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والمؤسسات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تحسب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توطين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السعودة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‍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1.25،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احتساب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أربع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بخمس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احتساب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الأشخاص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العاملين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بأربعة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سعوديين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واستفادة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الوطن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الحقيقى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الخبرة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والاعمال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افضل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وسيلة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للاتفاق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تخفيف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الازدحام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المروري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يمنح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فرصة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التقيد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بأجواء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المكاتب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المزدحمة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bidi w:val="1"/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عوائق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5f497a"/>
          <w:sz w:val="32"/>
          <w:szCs w:val="32"/>
          <w:highlight w:val="yellow"/>
          <w:rtl w:val="1"/>
        </w:rPr>
        <w:t xml:space="preserve"> 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استغلال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الصغيرة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لمزية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واستخدامها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التحايل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والسعودة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الوهمية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احتياج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مفتوحا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لجميع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الفئات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ضرورة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وسيط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تقني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يتقابل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طرفا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الوسيط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rPr>
          <w:color w:val="363636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        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متماثلا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ومتلائما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الطرف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الآخر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5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الممكنة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العضلية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28"/>
          <w:szCs w:val="28"/>
          <w:u w:val="none"/>
          <w:shd w:fill="auto" w:val="clear"/>
          <w:vertAlign w:val="baseline"/>
          <w:rtl w:val="1"/>
        </w:rPr>
        <w:t xml:space="preserve">والجسدية</w:t>
      </w:r>
    </w:p>
    <w:p w:rsidR="00000000" w:rsidDel="00000000" w:rsidP="00000000" w:rsidRDefault="00000000" w:rsidRPr="00000000" w14:paraId="0000003B">
      <w:pPr>
        <w:bidi w:val="1"/>
        <w:rPr>
          <w:color w:val="363636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          (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أمين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الصندوق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/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الاعمال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الميدانية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/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الاشراف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الميداني</w:t>
      </w:r>
      <w:r w:rsidDel="00000000" w:rsidR="00000000" w:rsidRPr="00000000">
        <w:rPr>
          <w:color w:val="363636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حجم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السوق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المستهدف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ذوي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الخاصة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5f497a"/>
          <w:sz w:val="32"/>
          <w:szCs w:val="32"/>
          <w:highlight w:val="yellow"/>
          <w:u w:val="single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نستهدف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دوام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المقام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الخاصه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الاعاقه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الجسديه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لانهم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يمثلو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الشريحه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اقرانهم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تبلغ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الإعاقة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إحصاءات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14"/>
          <w:szCs w:val="1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</w:rPr>
        <w:drawing>
          <wp:inline distB="0" distT="0" distL="0" distR="0">
            <wp:extent cx="6800850" cy="3533775"/>
            <wp:effectExtent b="0" l="0" r="0" t="0"/>
            <wp:docPr descr="C:\Users\shiko\Desktop\aa.jpg" id="1" name="image1.jpg"/>
            <a:graphic>
              <a:graphicData uri="http://schemas.openxmlformats.org/drawingml/2006/picture">
                <pic:pic>
                  <pic:nvPicPr>
                    <pic:cNvPr descr="C:\Users\shiko\Desktop\aa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53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Sakkal Majalla"/>
  <w:font w:name="Arial"/>
  <w:font w:name="Simplified Arabic"/>
  <w:font w:name="Courier New"/>
  <w:font w:name="Noto Sans Symbols"/>
  <w:font w:name="TT16D5o00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